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81C" w:rsidRPr="000F4640" w:rsidRDefault="0006781C" w:rsidP="0006781C">
      <w:pPr>
        <w:rPr>
          <w:kern w:val="0"/>
          <w:sz w:val="22"/>
        </w:rPr>
      </w:pPr>
      <w:r w:rsidRPr="000F4640">
        <w:rPr>
          <w:rFonts w:hint="eastAsia"/>
          <w:kern w:val="0"/>
          <w:sz w:val="22"/>
        </w:rPr>
        <w:t>骨格性下顎前突の矯正単独治療における安定性について-長期保定症例から考える-</w:t>
      </w:r>
    </w:p>
    <w:p w:rsidR="0006781C" w:rsidRDefault="00EF22B1" w:rsidP="00EF22B1">
      <w:pPr>
        <w:spacing w:line="360" w:lineRule="auto"/>
        <w:rPr>
          <w:rFonts w:cs="Times New Roman"/>
          <w:szCs w:val="24"/>
        </w:rPr>
      </w:pPr>
      <w:r>
        <w:rPr>
          <w:noProof/>
          <w:color w:val="000000" w:themeColor="text1"/>
          <w:szCs w:val="21"/>
        </w:rPr>
        <w:drawing>
          <wp:anchor distT="0" distB="0" distL="114300" distR="114300" simplePos="0" relativeHeight="251658240" behindDoc="0" locked="0" layoutInCell="1" allowOverlap="1">
            <wp:simplePos x="0" y="0"/>
            <wp:positionH relativeFrom="column">
              <wp:posOffset>3796665</wp:posOffset>
            </wp:positionH>
            <wp:positionV relativeFrom="paragraph">
              <wp:posOffset>211455</wp:posOffset>
            </wp:positionV>
            <wp:extent cx="1454785" cy="2186305"/>
            <wp:effectExtent l="0" t="0" r="5715" b="0"/>
            <wp:wrapThrough wrapText="bothSides">
              <wp:wrapPolygon edited="0">
                <wp:start x="0" y="0"/>
                <wp:lineTo x="0" y="21456"/>
                <wp:lineTo x="21496" y="21456"/>
                <wp:lineTo x="2149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ロフィール写真　根津崇.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4785" cy="2186305"/>
                    </a:xfrm>
                    <a:prstGeom prst="rect">
                      <a:avLst/>
                    </a:prstGeom>
                  </pic:spPr>
                </pic:pic>
              </a:graphicData>
            </a:graphic>
            <wp14:sizeRelH relativeFrom="page">
              <wp14:pctWidth>0</wp14:pctWidth>
            </wp14:sizeRelH>
            <wp14:sizeRelV relativeFrom="page">
              <wp14:pctHeight>0</wp14:pctHeight>
            </wp14:sizeRelV>
          </wp:anchor>
        </w:drawing>
      </w:r>
      <w:r w:rsidRPr="00F03314">
        <w:rPr>
          <w:rFonts w:cs="Times New Roman" w:hint="eastAsia"/>
          <w:szCs w:val="24"/>
        </w:rPr>
        <w:t>根津矯正歯科クリニック</w:t>
      </w:r>
    </w:p>
    <w:p w:rsidR="00EF22B1" w:rsidRDefault="00EF22B1" w:rsidP="00EF22B1">
      <w:pPr>
        <w:spacing w:line="360" w:lineRule="auto"/>
        <w:rPr>
          <w:color w:val="000000" w:themeColor="text1"/>
          <w:szCs w:val="21"/>
        </w:rPr>
      </w:pPr>
      <w:r>
        <w:rPr>
          <w:rFonts w:hint="eastAsia"/>
          <w:color w:val="000000" w:themeColor="text1"/>
          <w:szCs w:val="21"/>
        </w:rPr>
        <w:t>根津　崇</w:t>
      </w:r>
    </w:p>
    <w:p w:rsidR="00EF22B1" w:rsidRPr="00F03314" w:rsidRDefault="00EF22B1" w:rsidP="00EF22B1">
      <w:pPr>
        <w:rPr>
          <w:rFonts w:cs="Times New Roman"/>
          <w:szCs w:val="24"/>
        </w:rPr>
      </w:pPr>
      <w:r w:rsidRPr="00F03314">
        <w:rPr>
          <w:rFonts w:cs="Times New Roman"/>
          <w:szCs w:val="24"/>
        </w:rPr>
        <w:t>2005</w:t>
      </w:r>
      <w:r w:rsidRPr="00F03314">
        <w:rPr>
          <w:rFonts w:cs="Times New Roman" w:hint="eastAsia"/>
          <w:szCs w:val="24"/>
        </w:rPr>
        <w:t>年</w:t>
      </w:r>
      <w:r w:rsidRPr="00F03314">
        <w:rPr>
          <w:rFonts w:cs="Times New Roman"/>
          <w:szCs w:val="24"/>
        </w:rPr>
        <w:t xml:space="preserve"> </w:t>
      </w:r>
      <w:r w:rsidRPr="00F03314">
        <w:rPr>
          <w:rFonts w:cs="Times New Roman" w:hint="eastAsia"/>
          <w:szCs w:val="24"/>
        </w:rPr>
        <w:t xml:space="preserve">　東京歯科大学卒業</w:t>
      </w:r>
    </w:p>
    <w:p w:rsidR="00EF22B1" w:rsidRPr="00F03314" w:rsidRDefault="00EF22B1" w:rsidP="00EF22B1">
      <w:pPr>
        <w:rPr>
          <w:rFonts w:cs="Times New Roman"/>
          <w:szCs w:val="24"/>
        </w:rPr>
      </w:pPr>
      <w:r w:rsidRPr="00F03314">
        <w:rPr>
          <w:rFonts w:cs="Times New Roman"/>
          <w:szCs w:val="24"/>
        </w:rPr>
        <w:t>2009</w:t>
      </w:r>
      <w:r w:rsidRPr="00F03314">
        <w:rPr>
          <w:rFonts w:cs="Times New Roman" w:hint="eastAsia"/>
          <w:szCs w:val="24"/>
        </w:rPr>
        <w:t>年</w:t>
      </w:r>
      <w:r w:rsidRPr="00F03314">
        <w:rPr>
          <w:rFonts w:cs="Times New Roman"/>
          <w:szCs w:val="24"/>
        </w:rPr>
        <w:t xml:space="preserve"> </w:t>
      </w:r>
      <w:r w:rsidRPr="00F03314">
        <w:rPr>
          <w:rFonts w:cs="Times New Roman" w:hint="eastAsia"/>
          <w:szCs w:val="24"/>
        </w:rPr>
        <w:t xml:space="preserve">　東京歯科大学歯科矯正学講座卒後研修課程修了</w:t>
      </w:r>
    </w:p>
    <w:p w:rsidR="00EF22B1" w:rsidRDefault="00EF22B1" w:rsidP="00EF22B1">
      <w:pPr>
        <w:rPr>
          <w:rFonts w:cs="Times New Roman"/>
          <w:szCs w:val="24"/>
        </w:rPr>
      </w:pPr>
      <w:r w:rsidRPr="00F03314">
        <w:rPr>
          <w:rFonts w:cs="Times New Roman"/>
          <w:szCs w:val="24"/>
        </w:rPr>
        <w:t>2010</w:t>
      </w:r>
      <w:r w:rsidRPr="00F03314">
        <w:rPr>
          <w:rFonts w:cs="Times New Roman" w:hint="eastAsia"/>
          <w:szCs w:val="24"/>
        </w:rPr>
        <w:t>年</w:t>
      </w:r>
      <w:r w:rsidRPr="00F03314">
        <w:rPr>
          <w:rFonts w:cs="Times New Roman"/>
          <w:szCs w:val="24"/>
        </w:rPr>
        <w:t xml:space="preserve"> </w:t>
      </w:r>
      <w:r w:rsidRPr="00F03314">
        <w:rPr>
          <w:rFonts w:cs="Times New Roman" w:hint="eastAsia"/>
          <w:szCs w:val="24"/>
        </w:rPr>
        <w:t xml:space="preserve">　東京歯科大学大学院修了（歯科矯正学）</w:t>
      </w:r>
    </w:p>
    <w:p w:rsidR="00EF22B1" w:rsidRPr="00F03314" w:rsidRDefault="00EF22B1" w:rsidP="00EF22B1">
      <w:pPr>
        <w:ind w:firstLineChars="500" w:firstLine="1050"/>
        <w:rPr>
          <w:rFonts w:cs="Times New Roman"/>
          <w:szCs w:val="24"/>
        </w:rPr>
      </w:pPr>
      <w:r w:rsidRPr="00F03314">
        <w:rPr>
          <w:rFonts w:cs="Times New Roman" w:hint="eastAsia"/>
          <w:szCs w:val="24"/>
        </w:rPr>
        <w:t>博士（歯学）取得</w:t>
      </w:r>
    </w:p>
    <w:p w:rsidR="00EF22B1" w:rsidRPr="00F03314" w:rsidRDefault="00EF22B1" w:rsidP="00EF22B1">
      <w:pPr>
        <w:rPr>
          <w:rFonts w:cs="Times New Roman"/>
          <w:szCs w:val="24"/>
        </w:rPr>
      </w:pPr>
      <w:r w:rsidRPr="00F03314">
        <w:rPr>
          <w:rFonts w:cs="Times New Roman"/>
          <w:szCs w:val="24"/>
        </w:rPr>
        <w:t>2010</w:t>
      </w:r>
      <w:r w:rsidRPr="00F03314">
        <w:rPr>
          <w:rFonts w:cs="Times New Roman" w:hint="eastAsia"/>
          <w:szCs w:val="24"/>
        </w:rPr>
        <w:t>年</w:t>
      </w:r>
      <w:r w:rsidRPr="00F03314">
        <w:rPr>
          <w:rFonts w:cs="Times New Roman"/>
          <w:szCs w:val="24"/>
        </w:rPr>
        <w:t xml:space="preserve"> </w:t>
      </w:r>
      <w:r w:rsidRPr="00F03314">
        <w:rPr>
          <w:rFonts w:cs="Times New Roman" w:hint="eastAsia"/>
          <w:szCs w:val="24"/>
        </w:rPr>
        <w:t xml:space="preserve">　根津矯正歯科クリニック勤務　</w:t>
      </w:r>
    </w:p>
    <w:p w:rsidR="00EF22B1" w:rsidRPr="00F03314" w:rsidRDefault="00EF22B1" w:rsidP="00EF22B1">
      <w:pPr>
        <w:rPr>
          <w:rFonts w:cs="Times New Roman"/>
          <w:szCs w:val="24"/>
        </w:rPr>
      </w:pPr>
      <w:r w:rsidRPr="00F03314">
        <w:rPr>
          <w:rFonts w:cs="Times New Roman"/>
          <w:szCs w:val="24"/>
        </w:rPr>
        <w:t>2013</w:t>
      </w:r>
      <w:r w:rsidRPr="00F03314">
        <w:rPr>
          <w:rFonts w:cs="Times New Roman" w:hint="eastAsia"/>
          <w:szCs w:val="24"/>
        </w:rPr>
        <w:t xml:space="preserve">年 </w:t>
      </w:r>
      <w:r w:rsidRPr="00F03314">
        <w:rPr>
          <w:rFonts w:cs="Times New Roman"/>
          <w:szCs w:val="24"/>
        </w:rPr>
        <w:t xml:space="preserve">  </w:t>
      </w:r>
      <w:r w:rsidRPr="00F03314">
        <w:rPr>
          <w:rFonts w:cs="Times New Roman" w:hint="eastAsia"/>
          <w:szCs w:val="24"/>
        </w:rPr>
        <w:t>根津矯正歯科クリニック副院長</w:t>
      </w:r>
    </w:p>
    <w:p w:rsidR="00EF22B1" w:rsidRDefault="00EF22B1" w:rsidP="00EF22B1">
      <w:pPr>
        <w:rPr>
          <w:rFonts w:cs="Times New Roman"/>
          <w:szCs w:val="24"/>
        </w:rPr>
      </w:pPr>
      <w:r w:rsidRPr="00F03314">
        <w:rPr>
          <w:rFonts w:cs="Times New Roman" w:hint="eastAsia"/>
          <w:szCs w:val="24"/>
        </w:rPr>
        <w:t>2020年 　東京歯科大学歯科矯正学講座　非常勤講師</w:t>
      </w:r>
    </w:p>
    <w:p w:rsidR="00EF22B1" w:rsidRPr="00F03314" w:rsidRDefault="00EF22B1" w:rsidP="00EF22B1">
      <w:pPr>
        <w:ind w:firstLineChars="300" w:firstLine="630"/>
        <w:rPr>
          <w:rFonts w:cs="Times New Roman"/>
          <w:szCs w:val="24"/>
        </w:rPr>
      </w:pPr>
      <w:r w:rsidRPr="00F03314">
        <w:rPr>
          <w:rFonts w:cs="Times New Roman" w:hint="eastAsia"/>
          <w:szCs w:val="24"/>
        </w:rPr>
        <w:t xml:space="preserve">　　現在に至る</w:t>
      </w:r>
    </w:p>
    <w:p w:rsidR="00EF22B1" w:rsidRDefault="00EF22B1" w:rsidP="00EF22B1">
      <w:pPr>
        <w:rPr>
          <w:rFonts w:cs="Times New Roman"/>
          <w:szCs w:val="24"/>
        </w:rPr>
      </w:pPr>
    </w:p>
    <w:p w:rsidR="00EF22B1" w:rsidRPr="00F03314" w:rsidRDefault="00EF22B1" w:rsidP="00EF22B1">
      <w:pPr>
        <w:rPr>
          <w:rFonts w:cs="Times New Roman"/>
          <w:szCs w:val="24"/>
        </w:rPr>
      </w:pPr>
      <w:r w:rsidRPr="00F03314">
        <w:rPr>
          <w:rFonts w:cs="Times New Roman" w:hint="eastAsia"/>
          <w:szCs w:val="24"/>
        </w:rPr>
        <w:t>バイオプログレッシブスタディクラブ</w:t>
      </w:r>
      <w:r w:rsidRPr="00F03314">
        <w:rPr>
          <w:rFonts w:cs="Times New Roman"/>
          <w:szCs w:val="24"/>
        </w:rPr>
        <w:t>(BSC)</w:t>
      </w:r>
      <w:r w:rsidRPr="00F03314">
        <w:rPr>
          <w:rFonts w:cs="Times New Roman" w:hint="eastAsia"/>
          <w:szCs w:val="24"/>
        </w:rPr>
        <w:t xml:space="preserve"> 理事</w:t>
      </w:r>
    </w:p>
    <w:p w:rsidR="00EF22B1" w:rsidRPr="00F03314" w:rsidRDefault="00EF22B1" w:rsidP="00EF22B1">
      <w:pPr>
        <w:rPr>
          <w:rFonts w:cs="Times New Roman"/>
          <w:szCs w:val="24"/>
        </w:rPr>
      </w:pPr>
      <w:r w:rsidRPr="00F03314">
        <w:rPr>
          <w:rFonts w:cs="Times New Roman" w:hint="eastAsia"/>
          <w:szCs w:val="24"/>
        </w:rPr>
        <w:t>B</w:t>
      </w:r>
      <w:r w:rsidRPr="00F03314">
        <w:rPr>
          <w:rFonts w:cs="Times New Roman"/>
          <w:szCs w:val="24"/>
        </w:rPr>
        <w:t>SC</w:t>
      </w:r>
      <w:r w:rsidRPr="00F03314">
        <w:rPr>
          <w:rFonts w:cs="Times New Roman" w:hint="eastAsia"/>
          <w:szCs w:val="24"/>
        </w:rPr>
        <w:t>ベーシックセミナーインストラクター</w:t>
      </w:r>
    </w:p>
    <w:p w:rsidR="00EF22B1" w:rsidRPr="0006781C" w:rsidRDefault="00EF22B1" w:rsidP="00EF22B1">
      <w:pPr>
        <w:spacing w:line="360" w:lineRule="auto"/>
        <w:rPr>
          <w:rFonts w:hint="eastAsia"/>
          <w:color w:val="000000" w:themeColor="text1"/>
          <w:szCs w:val="21"/>
        </w:rPr>
      </w:pPr>
      <w:bookmarkStart w:id="0" w:name="_GoBack"/>
      <w:bookmarkEnd w:id="0"/>
    </w:p>
    <w:p w:rsidR="0006781C" w:rsidRPr="0006781C" w:rsidRDefault="0006781C" w:rsidP="0006781C">
      <w:pPr>
        <w:spacing w:line="360" w:lineRule="auto"/>
        <w:ind w:firstLineChars="100" w:firstLine="210"/>
        <w:rPr>
          <w:color w:val="000000" w:themeColor="text1"/>
          <w:kern w:val="0"/>
          <w:szCs w:val="21"/>
        </w:rPr>
      </w:pPr>
      <w:r w:rsidRPr="0006781C">
        <w:rPr>
          <w:rFonts w:hint="eastAsia"/>
          <w:color w:val="000000" w:themeColor="text1"/>
          <w:szCs w:val="21"/>
        </w:rPr>
        <w:t>近年、歯科矯正の分野においてデジタルテクノロジーの発展、普及は目覚ましく、それに伴い、</w:t>
      </w:r>
      <w:r w:rsidRPr="0006781C">
        <w:rPr>
          <w:rFonts w:hint="eastAsia"/>
          <w:color w:val="000000" w:themeColor="text1"/>
          <w:kern w:val="0"/>
          <w:szCs w:val="21"/>
        </w:rPr>
        <w:t>形態的および審美的な改善に注目される傾向にある。しかし、不正咬合は単に形態異常等により発現するものではなく、呼吸・嚥下、筋肉、姿勢、習癖などの機能不全の問題と深く関わっている。</w:t>
      </w:r>
    </w:p>
    <w:p w:rsidR="0006781C" w:rsidRPr="0006781C" w:rsidRDefault="0006781C" w:rsidP="0006781C">
      <w:pPr>
        <w:spacing w:line="360" w:lineRule="auto"/>
        <w:ind w:firstLineChars="100" w:firstLine="210"/>
        <w:rPr>
          <w:color w:val="000000" w:themeColor="text1"/>
          <w:kern w:val="0"/>
          <w:szCs w:val="21"/>
        </w:rPr>
      </w:pPr>
      <w:r w:rsidRPr="0006781C">
        <w:rPr>
          <w:rFonts w:hint="eastAsia"/>
          <w:color w:val="000000" w:themeColor="text1"/>
          <w:kern w:val="0"/>
          <w:szCs w:val="21"/>
        </w:rPr>
        <w:t>R</w:t>
      </w:r>
      <w:r w:rsidRPr="0006781C">
        <w:rPr>
          <w:color w:val="000000" w:themeColor="text1"/>
          <w:kern w:val="0"/>
          <w:szCs w:val="21"/>
        </w:rPr>
        <w:t xml:space="preserve"> Frankel</w:t>
      </w:r>
      <w:r w:rsidRPr="0006781C">
        <w:rPr>
          <w:rFonts w:hint="eastAsia"/>
          <w:color w:val="000000" w:themeColor="text1"/>
          <w:kern w:val="0"/>
          <w:szCs w:val="21"/>
        </w:rPr>
        <w:t>は「機能的な問題を考慮せず形態上の成功のみを得ても、治療の成功とはいえず、後戻りや治療の失敗として現れるであろう」と述べており、実際に、機能と形態の調和を獲得できなかった場合、治療期間の延長や後戻りの症例が散見される。</w:t>
      </w:r>
    </w:p>
    <w:p w:rsidR="0006781C" w:rsidRPr="0006781C" w:rsidRDefault="0006781C" w:rsidP="0006781C">
      <w:pPr>
        <w:spacing w:line="360" w:lineRule="auto"/>
        <w:ind w:firstLineChars="100" w:firstLine="210"/>
        <w:rPr>
          <w:color w:val="000000" w:themeColor="text1"/>
          <w:kern w:val="0"/>
          <w:szCs w:val="21"/>
        </w:rPr>
      </w:pPr>
      <w:r w:rsidRPr="0006781C">
        <w:rPr>
          <w:rFonts w:hint="eastAsia"/>
          <w:color w:val="000000" w:themeColor="text1"/>
          <w:kern w:val="0"/>
          <w:szCs w:val="21"/>
        </w:rPr>
        <w:t>歯科矯正治療を行う上でこれらの機能的諸問題への診診断と評価ならびに訓練はきわめて重要であり、とくに、高難度症例における治療後の安定性の向上を目指す上で形態と機能の両面からのアプローチが必須であると考える。</w:t>
      </w:r>
    </w:p>
    <w:p w:rsidR="0006781C" w:rsidRPr="0006781C" w:rsidRDefault="0006781C" w:rsidP="0006781C">
      <w:pPr>
        <w:spacing w:line="360" w:lineRule="auto"/>
        <w:ind w:firstLineChars="100" w:firstLine="210"/>
        <w:rPr>
          <w:color w:val="000000" w:themeColor="text1"/>
          <w:kern w:val="0"/>
          <w:szCs w:val="21"/>
        </w:rPr>
      </w:pPr>
      <w:r w:rsidRPr="0006781C">
        <w:rPr>
          <w:rFonts w:hint="eastAsia"/>
          <w:color w:val="000000" w:themeColor="text1"/>
          <w:kern w:val="0"/>
          <w:szCs w:val="21"/>
        </w:rPr>
        <w:t>不正咬合のアンロッキングとは、形態の改善と平行して種々の機能不全を中立化するこ</w:t>
      </w:r>
      <w:proofErr w:type="gramStart"/>
      <w:r w:rsidRPr="0006781C">
        <w:rPr>
          <w:rFonts w:hint="eastAsia"/>
          <w:color w:val="000000" w:themeColor="text1"/>
          <w:kern w:val="0"/>
          <w:szCs w:val="21"/>
        </w:rPr>
        <w:t>とで</w:t>
      </w:r>
      <w:proofErr w:type="gramEnd"/>
      <w:r w:rsidRPr="0006781C">
        <w:rPr>
          <w:rFonts w:hint="eastAsia"/>
          <w:color w:val="000000" w:themeColor="text1"/>
          <w:kern w:val="0"/>
          <w:szCs w:val="21"/>
        </w:rPr>
        <w:t>拘束（ロック）から解放し、顎関節を含む口顎系の健全性を回復するとともに、成長期にあっては、正常な成長、発育を誘導することである。</w:t>
      </w:r>
    </w:p>
    <w:p w:rsidR="0006781C" w:rsidRPr="0006781C" w:rsidRDefault="0006781C" w:rsidP="0006781C">
      <w:pPr>
        <w:spacing w:line="360" w:lineRule="auto"/>
        <w:ind w:firstLineChars="100" w:firstLine="210"/>
        <w:rPr>
          <w:color w:val="000000" w:themeColor="text1"/>
          <w:kern w:val="0"/>
          <w:szCs w:val="21"/>
        </w:rPr>
      </w:pPr>
      <w:r w:rsidRPr="0006781C">
        <w:rPr>
          <w:rFonts w:hint="eastAsia"/>
          <w:color w:val="000000" w:themeColor="text1"/>
          <w:kern w:val="0"/>
          <w:szCs w:val="21"/>
        </w:rPr>
        <w:lastRenderedPageBreak/>
        <w:t>矯正装置の介入によるメカニカル・アンロッキングに対して、機能的問題の改善または形態への影響を最小化することを機能的アンロッキングといい、M</w:t>
      </w:r>
      <w:r w:rsidRPr="0006781C">
        <w:rPr>
          <w:color w:val="000000" w:themeColor="text1"/>
          <w:kern w:val="0"/>
          <w:szCs w:val="21"/>
        </w:rPr>
        <w:t>yofunctional Therapy (MFT)</w:t>
      </w:r>
      <w:r w:rsidRPr="0006781C">
        <w:rPr>
          <w:rFonts w:ascii="Arial" w:hAnsi="Arial" w:cs="Arial" w:hint="eastAsia"/>
          <w:color w:val="000000" w:themeColor="text1"/>
          <w:szCs w:val="21"/>
          <w:shd w:val="clear" w:color="auto" w:fill="FFFFFF"/>
        </w:rPr>
        <w:t>を含む認識訓練（アウェアネス・トレーニング、以下</w:t>
      </w:r>
      <w:r w:rsidRPr="0006781C">
        <w:rPr>
          <w:rFonts w:hint="eastAsia"/>
          <w:color w:val="000000" w:themeColor="text1"/>
          <w:kern w:val="0"/>
          <w:szCs w:val="21"/>
        </w:rPr>
        <w:t>AT</w:t>
      </w:r>
      <w:r w:rsidRPr="0006781C">
        <w:rPr>
          <w:rFonts w:ascii="Arial" w:hAnsi="Arial" w:cs="Arial" w:hint="eastAsia"/>
          <w:color w:val="000000" w:themeColor="text1"/>
          <w:szCs w:val="21"/>
          <w:shd w:val="clear" w:color="auto" w:fill="FFFFFF"/>
        </w:rPr>
        <w:t>）としてプログラムが構成されている。</w:t>
      </w:r>
      <w:r w:rsidRPr="0006781C">
        <w:rPr>
          <w:rFonts w:hint="eastAsia"/>
          <w:color w:val="000000" w:themeColor="text1"/>
          <w:kern w:val="0"/>
          <w:szCs w:val="21"/>
        </w:rPr>
        <w:t>AT</w:t>
      </w:r>
      <w:r w:rsidRPr="0006781C">
        <w:rPr>
          <w:rFonts w:ascii="Arial" w:hAnsi="Arial" w:cs="Arial" w:hint="eastAsia"/>
          <w:color w:val="000000" w:themeColor="text1"/>
          <w:szCs w:val="21"/>
          <w:shd w:val="clear" w:color="auto" w:fill="FFFFFF"/>
        </w:rPr>
        <w:t>は、多くの患者が日常でほとんど意識することのない、呼吸・嚥下、筋肉、姿勢、習癖における機能不全が及ぼす不正咬合への影響を指摘し、患者自身の状況に即した認識を促すものでなければならない。</w:t>
      </w:r>
    </w:p>
    <w:p w:rsidR="0006781C" w:rsidRPr="0006781C" w:rsidRDefault="0006781C" w:rsidP="0006781C">
      <w:pPr>
        <w:spacing w:line="360" w:lineRule="auto"/>
        <w:ind w:firstLineChars="100" w:firstLine="210"/>
        <w:rPr>
          <w:color w:val="000000" w:themeColor="text1"/>
          <w:sz w:val="20"/>
          <w:szCs w:val="21"/>
        </w:rPr>
      </w:pPr>
      <w:r w:rsidRPr="0006781C">
        <w:rPr>
          <w:rFonts w:hint="eastAsia"/>
          <w:color w:val="000000" w:themeColor="text1"/>
          <w:kern w:val="0"/>
          <w:szCs w:val="21"/>
        </w:rPr>
        <w:t>しかし、機能的問題に対する評価の定量化や習癖などにおける患者の行動変容を促すことは容易ではない。</w:t>
      </w:r>
      <w:r w:rsidRPr="0006781C">
        <w:rPr>
          <w:rFonts w:hint="eastAsia"/>
          <w:color w:val="000000" w:themeColor="text1"/>
          <w:szCs w:val="21"/>
        </w:rPr>
        <w:t>臨床診査、鼻腔通気度計、筋電図、その他の包括的な診断を通し、機能に関する情報と訓練の重要性について、患者と術者側との価値観の共有がもっとも優先される。今回、骨格性下顎前突症例の長期保定症例を供覧し、演者のIII級不正咬合治療におけるバイオメカニクス、機能的な問題へのアプローチおよび術後安定性について卑小な経験を報告する。</w:t>
      </w:r>
    </w:p>
    <w:p w:rsidR="00EF0712" w:rsidRPr="0006781C" w:rsidRDefault="00EF22B1"/>
    <w:sectPr w:rsidR="00EF0712" w:rsidRPr="000678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1C"/>
    <w:rsid w:val="0006781C"/>
    <w:rsid w:val="00354D57"/>
    <w:rsid w:val="007B3399"/>
    <w:rsid w:val="00EF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F9D8A"/>
  <w15:chartTrackingRefBased/>
  <w15:docId w15:val="{D166CBAE-8CC0-425E-942D-4A034CB0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根津 浩</dc:creator>
  <cp:keywords/>
  <dc:description/>
  <cp:lastModifiedBy>立木千恵</cp:lastModifiedBy>
  <cp:revision>2</cp:revision>
  <dcterms:created xsi:type="dcterms:W3CDTF">2023-04-30T02:47:00Z</dcterms:created>
  <dcterms:modified xsi:type="dcterms:W3CDTF">2023-04-30T02:47:00Z</dcterms:modified>
</cp:coreProperties>
</file>